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C8065" w14:textId="77777777" w:rsidR="00412B57" w:rsidRPr="00EB1402" w:rsidRDefault="00412B57" w:rsidP="00412B57">
      <w:pPr>
        <w:spacing w:after="0" w:line="480" w:lineRule="auto"/>
        <w:jc w:val="both"/>
        <w:rPr>
          <w:rFonts w:ascii="Times New Roman" w:eastAsia="Times New Roman" w:hAnsi="Times New Roman" w:cs="Times New Roman"/>
          <w:b/>
          <w:bCs/>
          <w:lang w:val="es-ES"/>
        </w:rPr>
      </w:pPr>
      <w:r w:rsidRPr="00EB1402">
        <w:rPr>
          <w:rFonts w:ascii="Times New Roman" w:eastAsia="Times New Roman" w:hAnsi="Times New Roman" w:cs="Times New Roman"/>
          <w:b/>
          <w:bCs/>
          <w:lang w:val="es-ES"/>
        </w:rPr>
        <w:t>Análisis de las estrategias de innovación de las empresas globalmente reconocidas</w:t>
      </w:r>
    </w:p>
    <w:p w14:paraId="63A6B0C1" w14:textId="77777777" w:rsidR="00412B57" w:rsidRPr="0023321D" w:rsidRDefault="00412B57" w:rsidP="00412B57">
      <w:pPr>
        <w:spacing w:after="0" w:line="480" w:lineRule="auto"/>
        <w:jc w:val="both"/>
        <w:rPr>
          <w:rFonts w:ascii="Times New Roman" w:eastAsia="Times New Roman" w:hAnsi="Times New Roman" w:cs="Times New Roman"/>
          <w:b/>
          <w:bCs/>
          <w:lang w:val="es-ES"/>
        </w:rPr>
      </w:pPr>
      <w:r>
        <w:rPr>
          <w:rFonts w:ascii="Times New Roman" w:eastAsia="Times New Roman" w:hAnsi="Times New Roman" w:cs="Times New Roman"/>
          <w:b/>
          <w:bCs/>
          <w:lang w:val="es-ES"/>
        </w:rPr>
        <w:t xml:space="preserve">Empresa </w:t>
      </w:r>
      <w:r w:rsidRPr="0023321D">
        <w:rPr>
          <w:rFonts w:ascii="Times New Roman" w:eastAsia="Times New Roman" w:hAnsi="Times New Roman" w:cs="Times New Roman"/>
          <w:b/>
          <w:bCs/>
          <w:lang w:val="es-ES"/>
        </w:rPr>
        <w:t>Compass Group</w:t>
      </w:r>
    </w:p>
    <w:p w14:paraId="0CD7C4F1" w14:textId="77777777" w:rsidR="00412B57" w:rsidRDefault="00412B57" w:rsidP="00412B57">
      <w:pPr>
        <w:spacing w:after="0" w:line="480" w:lineRule="auto"/>
        <w:ind w:firstLine="708"/>
        <w:jc w:val="both"/>
        <w:rPr>
          <w:rFonts w:ascii="Times New Roman" w:eastAsia="Times New Roman" w:hAnsi="Times New Roman" w:cs="Times New Roman"/>
          <w:lang w:val="es-ES"/>
        </w:rPr>
      </w:pPr>
      <w:r w:rsidRPr="7AFAFC74">
        <w:rPr>
          <w:rFonts w:ascii="Times New Roman" w:eastAsia="Times New Roman" w:hAnsi="Times New Roman" w:cs="Times New Roman"/>
          <w:lang w:val="es-ES"/>
        </w:rPr>
        <w:t>Compass Group es una Multinacional británica, líder mundial en servicios de alimentación y soporte, con 76 años de experiencia en el mercado, con presencia en más 50 países en todos los continentes, cuenta con más de 550.000 colaboradores y, además, cuenta con un promedio de más de 5.5 billones de comidas servidas al año. Esta gran multinacional está presente en Colombia desde el año 1999, tras la adquisición de varias compañías especializadas en el sector de catering y alimentos. En la actualidad, Compass Group opera en 23 departamentos a nivel nacional.</w:t>
      </w:r>
      <w:r>
        <w:rPr>
          <w:rFonts w:ascii="Times New Roman" w:eastAsia="Times New Roman" w:hAnsi="Times New Roman" w:cs="Times New Roman"/>
          <w:lang w:val="es-ES"/>
        </w:rPr>
        <w:t xml:space="preserve"> La marca encargada de la alimentación es Eurest.</w:t>
      </w:r>
    </w:p>
    <w:p w14:paraId="4CAB0972" w14:textId="77777777" w:rsidR="00412B57" w:rsidRDefault="00412B57" w:rsidP="00412B57">
      <w:pPr>
        <w:spacing w:after="0" w:line="480" w:lineRule="auto"/>
        <w:ind w:firstLine="708"/>
        <w:jc w:val="both"/>
        <w:rPr>
          <w:rFonts w:ascii="Times New Roman" w:eastAsia="Times New Roman" w:hAnsi="Times New Roman" w:cs="Times New Roman"/>
          <w:lang w:val="es-ES"/>
        </w:rPr>
      </w:pPr>
    </w:p>
    <w:p w14:paraId="58964795" w14:textId="77777777" w:rsidR="00412B57" w:rsidRDefault="00412B57" w:rsidP="00412B57">
      <w:pPr>
        <w:spacing w:after="0" w:line="480" w:lineRule="auto"/>
        <w:jc w:val="both"/>
        <w:rPr>
          <w:rFonts w:ascii="Times New Roman" w:eastAsia="Times New Roman" w:hAnsi="Times New Roman" w:cs="Times New Roman"/>
          <w:lang w:val="es-ES"/>
        </w:rPr>
      </w:pPr>
      <w:r>
        <w:rPr>
          <w:rFonts w:ascii="Times New Roman" w:eastAsia="Times New Roman" w:hAnsi="Times New Roman" w:cs="Times New Roman"/>
          <w:lang w:val="es-ES"/>
        </w:rPr>
        <w:t>Tabla # Estrategias de innovación de la empresa Compass Group</w:t>
      </w:r>
    </w:p>
    <w:tbl>
      <w:tblPr>
        <w:tblW w:w="0" w:type="auto"/>
        <w:tblCellMar>
          <w:left w:w="70" w:type="dxa"/>
          <w:right w:w="70" w:type="dxa"/>
        </w:tblCellMar>
        <w:tblLook w:val="04A0" w:firstRow="1" w:lastRow="0" w:firstColumn="1" w:lastColumn="0" w:noHBand="0" w:noVBand="1"/>
      </w:tblPr>
      <w:tblGrid>
        <w:gridCol w:w="1908"/>
        <w:gridCol w:w="7452"/>
      </w:tblGrid>
      <w:tr w:rsidR="00412B57" w:rsidRPr="00A951E9" w14:paraId="5A6ADD2F" w14:textId="77777777" w:rsidTr="00DF30EF">
        <w:trPr>
          <w:trHeight w:val="420"/>
        </w:trPr>
        <w:tc>
          <w:tcPr>
            <w:tcW w:w="0" w:type="auto"/>
            <w:tcBorders>
              <w:top w:val="single" w:sz="8" w:space="0" w:color="auto"/>
              <w:left w:val="nil"/>
              <w:bottom w:val="single" w:sz="8" w:space="0" w:color="auto"/>
              <w:right w:val="nil"/>
            </w:tcBorders>
            <w:shd w:val="clear" w:color="000000" w:fill="F2F2F2"/>
            <w:noWrap/>
            <w:vAlign w:val="center"/>
            <w:hideMark/>
          </w:tcPr>
          <w:p w14:paraId="184511EC" w14:textId="77777777" w:rsidR="00412B57" w:rsidRPr="00A951E9" w:rsidRDefault="00412B57" w:rsidP="00DF30EF">
            <w:pPr>
              <w:spacing w:after="0" w:line="360" w:lineRule="auto"/>
              <w:jc w:val="center"/>
              <w:rPr>
                <w:rFonts w:ascii="Times New Roman" w:eastAsia="Times New Roman" w:hAnsi="Times New Roman" w:cs="Times New Roman"/>
                <w:b/>
                <w:bCs/>
                <w:color w:val="000000"/>
                <w:kern w:val="0"/>
                <w:lang w:eastAsia="es-CO"/>
                <w14:ligatures w14:val="none"/>
              </w:rPr>
            </w:pPr>
            <w:r w:rsidRPr="00A951E9">
              <w:rPr>
                <w:rFonts w:ascii="Times New Roman" w:eastAsia="Times New Roman" w:hAnsi="Times New Roman" w:cs="Times New Roman"/>
                <w:b/>
                <w:bCs/>
                <w:color w:val="000000"/>
                <w:kern w:val="0"/>
                <w:lang w:eastAsia="es-CO"/>
                <w14:ligatures w14:val="none"/>
              </w:rPr>
              <w:t>Dimensión</w:t>
            </w:r>
          </w:p>
        </w:tc>
        <w:tc>
          <w:tcPr>
            <w:tcW w:w="0" w:type="auto"/>
            <w:tcBorders>
              <w:top w:val="single" w:sz="8" w:space="0" w:color="auto"/>
              <w:left w:val="nil"/>
              <w:bottom w:val="single" w:sz="8" w:space="0" w:color="auto"/>
              <w:right w:val="nil"/>
            </w:tcBorders>
            <w:shd w:val="clear" w:color="000000" w:fill="F2F2F2"/>
            <w:noWrap/>
            <w:vAlign w:val="center"/>
            <w:hideMark/>
          </w:tcPr>
          <w:p w14:paraId="2CCD48B4" w14:textId="77777777" w:rsidR="00412B57" w:rsidRPr="00A951E9" w:rsidRDefault="00412B57" w:rsidP="00DF30EF">
            <w:pPr>
              <w:spacing w:after="0" w:line="360" w:lineRule="auto"/>
              <w:jc w:val="center"/>
              <w:rPr>
                <w:rFonts w:ascii="Times New Roman" w:eastAsia="Times New Roman" w:hAnsi="Times New Roman" w:cs="Times New Roman"/>
                <w:b/>
                <w:bCs/>
                <w:color w:val="000000"/>
                <w:kern w:val="0"/>
                <w:lang w:eastAsia="es-CO"/>
                <w14:ligatures w14:val="none"/>
              </w:rPr>
            </w:pPr>
            <w:r w:rsidRPr="00A951E9">
              <w:rPr>
                <w:rFonts w:ascii="Times New Roman" w:eastAsia="Times New Roman" w:hAnsi="Times New Roman" w:cs="Times New Roman"/>
                <w:b/>
                <w:bCs/>
                <w:color w:val="000000"/>
                <w:kern w:val="0"/>
                <w:lang w:eastAsia="es-CO"/>
                <w14:ligatures w14:val="none"/>
              </w:rPr>
              <w:t>Descripción de las estrategias</w:t>
            </w:r>
            <w:r>
              <w:rPr>
                <w:rFonts w:ascii="Times New Roman" w:eastAsia="Times New Roman" w:hAnsi="Times New Roman" w:cs="Times New Roman"/>
                <w:b/>
                <w:bCs/>
                <w:color w:val="000000"/>
                <w:kern w:val="0"/>
                <w:lang w:eastAsia="es-CO"/>
                <w14:ligatures w14:val="none"/>
              </w:rPr>
              <w:t xml:space="preserve"> </w:t>
            </w:r>
          </w:p>
        </w:tc>
      </w:tr>
      <w:tr w:rsidR="00412B57" w:rsidRPr="00A951E9" w14:paraId="59A19A71" w14:textId="77777777" w:rsidTr="00DF30EF">
        <w:trPr>
          <w:trHeight w:val="924"/>
        </w:trPr>
        <w:tc>
          <w:tcPr>
            <w:tcW w:w="0" w:type="auto"/>
            <w:tcBorders>
              <w:top w:val="nil"/>
              <w:left w:val="nil"/>
              <w:bottom w:val="single" w:sz="8" w:space="0" w:color="auto"/>
              <w:right w:val="nil"/>
            </w:tcBorders>
            <w:shd w:val="clear" w:color="auto" w:fill="auto"/>
            <w:vAlign w:val="center"/>
            <w:hideMark/>
          </w:tcPr>
          <w:p w14:paraId="50B42BF7" w14:textId="77777777" w:rsidR="00412B57" w:rsidRPr="00A951E9"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Modelo de negocio</w:t>
            </w:r>
          </w:p>
        </w:tc>
        <w:tc>
          <w:tcPr>
            <w:tcW w:w="0" w:type="auto"/>
            <w:tcBorders>
              <w:top w:val="nil"/>
              <w:left w:val="nil"/>
              <w:bottom w:val="single" w:sz="8" w:space="0" w:color="auto"/>
              <w:right w:val="nil"/>
            </w:tcBorders>
            <w:shd w:val="clear" w:color="auto" w:fill="auto"/>
            <w:vAlign w:val="bottom"/>
            <w:hideMark/>
          </w:tcPr>
          <w:p w14:paraId="2B077F0B" w14:textId="77777777" w:rsidR="00412B57" w:rsidRPr="00A951E9"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Servicios ofrecidos a varios sectores empresariales, combinación entre experiencia presencial en los comedores con el uso de plataformas digitales y el fomento de la alimentación consciente.</w:t>
            </w:r>
          </w:p>
        </w:tc>
      </w:tr>
      <w:tr w:rsidR="00412B57" w:rsidRPr="00A951E9" w14:paraId="2A8B8312" w14:textId="77777777" w:rsidTr="00DF30EF">
        <w:trPr>
          <w:trHeight w:val="1296"/>
        </w:trPr>
        <w:tc>
          <w:tcPr>
            <w:tcW w:w="0" w:type="auto"/>
            <w:tcBorders>
              <w:top w:val="nil"/>
              <w:left w:val="nil"/>
              <w:bottom w:val="single" w:sz="8" w:space="0" w:color="auto"/>
              <w:right w:val="nil"/>
            </w:tcBorders>
            <w:shd w:val="clear" w:color="000000" w:fill="F2F2F2"/>
            <w:vAlign w:val="center"/>
            <w:hideMark/>
          </w:tcPr>
          <w:p w14:paraId="27AECBE6" w14:textId="77777777" w:rsidR="00412B57" w:rsidRPr="00A951E9"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Segmentación de mercado</w:t>
            </w:r>
          </w:p>
        </w:tc>
        <w:tc>
          <w:tcPr>
            <w:tcW w:w="0" w:type="auto"/>
            <w:tcBorders>
              <w:top w:val="nil"/>
              <w:left w:val="nil"/>
              <w:bottom w:val="single" w:sz="8" w:space="0" w:color="auto"/>
              <w:right w:val="nil"/>
            </w:tcBorders>
            <w:shd w:val="clear" w:color="000000" w:fill="F2F2F2"/>
            <w:vAlign w:val="bottom"/>
            <w:hideMark/>
          </w:tcPr>
          <w:p w14:paraId="77D11124" w14:textId="77777777" w:rsidR="00412B57" w:rsidRPr="00A951E9"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 xml:space="preserve">Sector empresarial e industrial, sector educativo, sector salud, sitios remotos (plataformas marítimas y defensa) y ventas directas al público. Desde pequeñas hasta grandes empresas. Perfil de los usuarios (Baby boomers, generación X, generación Y, generación Z). </w:t>
            </w:r>
          </w:p>
        </w:tc>
      </w:tr>
      <w:tr w:rsidR="00412B57" w:rsidRPr="00A951E9" w14:paraId="0903BDD9" w14:textId="77777777" w:rsidTr="00DF30EF">
        <w:trPr>
          <w:trHeight w:val="948"/>
        </w:trPr>
        <w:tc>
          <w:tcPr>
            <w:tcW w:w="0" w:type="auto"/>
            <w:tcBorders>
              <w:top w:val="nil"/>
              <w:left w:val="nil"/>
              <w:bottom w:val="single" w:sz="8" w:space="0" w:color="auto"/>
              <w:right w:val="nil"/>
            </w:tcBorders>
            <w:shd w:val="clear" w:color="auto" w:fill="auto"/>
            <w:vAlign w:val="center"/>
            <w:hideMark/>
          </w:tcPr>
          <w:p w14:paraId="45302015" w14:textId="77777777" w:rsidR="00412B57" w:rsidRPr="00A951E9"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Producto o servicios</w:t>
            </w:r>
          </w:p>
        </w:tc>
        <w:tc>
          <w:tcPr>
            <w:tcW w:w="0" w:type="auto"/>
            <w:tcBorders>
              <w:top w:val="nil"/>
              <w:left w:val="nil"/>
              <w:bottom w:val="single" w:sz="8" w:space="0" w:color="auto"/>
              <w:right w:val="nil"/>
            </w:tcBorders>
            <w:shd w:val="clear" w:color="auto" w:fill="auto"/>
            <w:vAlign w:val="bottom"/>
            <w:hideMark/>
          </w:tcPr>
          <w:p w14:paraId="624B9799" w14:textId="77777777" w:rsidR="00412B57" w:rsidRPr="00A951E9"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Soluciones de alimentación empresarial; catering para corporaciones y oficinas, catering industrial, restaurantes, servicios de stands de cafés, micro mercados y vending.</w:t>
            </w:r>
          </w:p>
        </w:tc>
      </w:tr>
      <w:tr w:rsidR="00412B57" w:rsidRPr="00A951E9" w14:paraId="00427200" w14:textId="77777777" w:rsidTr="00DF30EF">
        <w:trPr>
          <w:trHeight w:val="732"/>
        </w:trPr>
        <w:tc>
          <w:tcPr>
            <w:tcW w:w="0" w:type="auto"/>
            <w:tcBorders>
              <w:top w:val="nil"/>
              <w:left w:val="nil"/>
              <w:bottom w:val="single" w:sz="8" w:space="0" w:color="auto"/>
              <w:right w:val="nil"/>
            </w:tcBorders>
            <w:shd w:val="clear" w:color="000000" w:fill="F2F2F2"/>
            <w:vAlign w:val="center"/>
            <w:hideMark/>
          </w:tcPr>
          <w:p w14:paraId="6F96EB92" w14:textId="77777777" w:rsidR="00412B57" w:rsidRPr="00A951E9"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Tecnología</w:t>
            </w:r>
          </w:p>
        </w:tc>
        <w:tc>
          <w:tcPr>
            <w:tcW w:w="0" w:type="auto"/>
            <w:tcBorders>
              <w:top w:val="nil"/>
              <w:left w:val="nil"/>
              <w:bottom w:val="single" w:sz="8" w:space="0" w:color="auto"/>
              <w:right w:val="nil"/>
            </w:tcBorders>
            <w:shd w:val="clear" w:color="000000" w:fill="F2F2F2"/>
            <w:vAlign w:val="bottom"/>
            <w:hideMark/>
          </w:tcPr>
          <w:p w14:paraId="0BD833A8" w14:textId="77777777" w:rsidR="00412B57" w:rsidRPr="00A951E9"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Uso de sistemas autoservicio y máquinas de tarjetas sin contacto, integración de plataformas y aplicación Time2Eat para pedidos.</w:t>
            </w:r>
          </w:p>
        </w:tc>
      </w:tr>
      <w:tr w:rsidR="00412B57" w:rsidRPr="00A951E9" w14:paraId="6E38BBE4" w14:textId="77777777" w:rsidTr="00DF30EF">
        <w:trPr>
          <w:trHeight w:val="936"/>
        </w:trPr>
        <w:tc>
          <w:tcPr>
            <w:tcW w:w="0" w:type="auto"/>
            <w:tcBorders>
              <w:top w:val="nil"/>
              <w:left w:val="nil"/>
              <w:bottom w:val="single" w:sz="8" w:space="0" w:color="auto"/>
              <w:right w:val="nil"/>
            </w:tcBorders>
            <w:shd w:val="clear" w:color="auto" w:fill="auto"/>
            <w:vAlign w:val="center"/>
            <w:hideMark/>
          </w:tcPr>
          <w:p w14:paraId="101C25CC" w14:textId="77777777" w:rsidR="00412B57" w:rsidRPr="00A951E9"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Sostenibilidad</w:t>
            </w:r>
          </w:p>
        </w:tc>
        <w:tc>
          <w:tcPr>
            <w:tcW w:w="0" w:type="auto"/>
            <w:tcBorders>
              <w:top w:val="nil"/>
              <w:left w:val="nil"/>
              <w:bottom w:val="single" w:sz="8" w:space="0" w:color="auto"/>
              <w:right w:val="nil"/>
            </w:tcBorders>
            <w:shd w:val="clear" w:color="auto" w:fill="auto"/>
            <w:vAlign w:val="bottom"/>
            <w:hideMark/>
          </w:tcPr>
          <w:p w14:paraId="22E2B4A4" w14:textId="77777777" w:rsidR="00412B57" w:rsidRPr="00A951E9"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Certificación Wellbeing 360 enfocado en el bienestar, desarrollo personal y profesional de los trabajadores; espacios y materia</w:t>
            </w:r>
            <w:r>
              <w:rPr>
                <w:rFonts w:ascii="Times New Roman" w:eastAsia="Times New Roman" w:hAnsi="Times New Roman" w:cs="Times New Roman"/>
                <w:color w:val="000000"/>
                <w:kern w:val="0"/>
                <w:lang w:eastAsia="es-CO"/>
                <w14:ligatures w14:val="none"/>
              </w:rPr>
              <w:t>les</w:t>
            </w:r>
            <w:r w:rsidRPr="00A951E9">
              <w:rPr>
                <w:rFonts w:ascii="Times New Roman" w:eastAsia="Times New Roman" w:hAnsi="Times New Roman" w:cs="Times New Roman"/>
                <w:color w:val="000000"/>
                <w:kern w:val="0"/>
                <w:lang w:eastAsia="es-CO"/>
                <w14:ligatures w14:val="none"/>
              </w:rPr>
              <w:t xml:space="preserve"> sostenibles; reducción de desperdicios y políticas de RSE.</w:t>
            </w:r>
          </w:p>
        </w:tc>
      </w:tr>
      <w:tr w:rsidR="00412B57" w:rsidRPr="00A951E9" w14:paraId="484686EB" w14:textId="77777777" w:rsidTr="00DF30EF">
        <w:trPr>
          <w:trHeight w:val="1620"/>
        </w:trPr>
        <w:tc>
          <w:tcPr>
            <w:tcW w:w="0" w:type="auto"/>
            <w:tcBorders>
              <w:top w:val="nil"/>
              <w:left w:val="nil"/>
              <w:bottom w:val="single" w:sz="8" w:space="0" w:color="auto"/>
              <w:right w:val="nil"/>
            </w:tcBorders>
            <w:shd w:val="clear" w:color="000000" w:fill="F2F2F2"/>
            <w:vAlign w:val="center"/>
            <w:hideMark/>
          </w:tcPr>
          <w:p w14:paraId="118D14B7" w14:textId="77777777" w:rsidR="00412B57" w:rsidRPr="00A951E9"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lastRenderedPageBreak/>
              <w:t>Diferenciación del producto o servicio</w:t>
            </w:r>
          </w:p>
        </w:tc>
        <w:tc>
          <w:tcPr>
            <w:tcW w:w="0" w:type="auto"/>
            <w:tcBorders>
              <w:top w:val="nil"/>
              <w:left w:val="nil"/>
              <w:bottom w:val="single" w:sz="8" w:space="0" w:color="auto"/>
              <w:right w:val="nil"/>
            </w:tcBorders>
            <w:shd w:val="clear" w:color="000000" w:fill="F2F2F2"/>
            <w:vAlign w:val="bottom"/>
            <w:hideMark/>
          </w:tcPr>
          <w:p w14:paraId="6C605FC2" w14:textId="77777777" w:rsidR="00412B57" w:rsidRPr="00A951E9"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La alimentación es con propósito teniendo en cuenta el cuidado de las personas y su entorno; basan las decisiones en la extracción de datos y su análisis para ofrecer según lo que el cliente desea; incorporación de la tecnología para mayor facilidad y flexibilidad al cliente; recomendación de productos basado en las necesidades y preferencias personales.</w:t>
            </w:r>
          </w:p>
        </w:tc>
      </w:tr>
      <w:tr w:rsidR="00412B57" w:rsidRPr="00A951E9" w14:paraId="3DBB33D6" w14:textId="77777777" w:rsidTr="00DF30EF">
        <w:trPr>
          <w:trHeight w:val="1596"/>
        </w:trPr>
        <w:tc>
          <w:tcPr>
            <w:tcW w:w="0" w:type="auto"/>
            <w:tcBorders>
              <w:top w:val="nil"/>
              <w:left w:val="nil"/>
              <w:bottom w:val="single" w:sz="8" w:space="0" w:color="auto"/>
              <w:right w:val="nil"/>
            </w:tcBorders>
            <w:shd w:val="clear" w:color="auto" w:fill="auto"/>
            <w:vAlign w:val="center"/>
            <w:hideMark/>
          </w:tcPr>
          <w:p w14:paraId="54B2BF82" w14:textId="77777777" w:rsidR="00412B57" w:rsidRPr="00A951E9"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Promoción</w:t>
            </w:r>
          </w:p>
        </w:tc>
        <w:tc>
          <w:tcPr>
            <w:tcW w:w="0" w:type="auto"/>
            <w:tcBorders>
              <w:top w:val="nil"/>
              <w:left w:val="nil"/>
              <w:bottom w:val="single" w:sz="8" w:space="0" w:color="auto"/>
              <w:right w:val="nil"/>
            </w:tcBorders>
            <w:shd w:val="clear" w:color="auto" w:fill="auto"/>
            <w:vAlign w:val="bottom"/>
            <w:hideMark/>
          </w:tcPr>
          <w:p w14:paraId="6869CBC5" w14:textId="77777777" w:rsidR="00412B57" w:rsidRPr="00A951E9"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A951E9">
              <w:rPr>
                <w:rFonts w:ascii="Times New Roman" w:eastAsia="Times New Roman" w:hAnsi="Times New Roman" w:cs="Times New Roman"/>
                <w:color w:val="000000"/>
                <w:kern w:val="0"/>
                <w:lang w:eastAsia="es-CO"/>
                <w14:ligatures w14:val="none"/>
              </w:rPr>
              <w:t>Promueven la comunicación directa con las empresas, utilizando demostraciones y presentaciones para la captación de clientes; Se encuentran presentes en redes sociales compartiendo logros, buenas prácticas e innovaciones recientes. Enfatizan campañas de sostenibilidad y bienestar demostrando el compromiso con sus grupos de interés.</w:t>
            </w:r>
          </w:p>
        </w:tc>
      </w:tr>
    </w:tbl>
    <w:p w14:paraId="51C06877" w14:textId="77777777" w:rsidR="00412B57" w:rsidRDefault="00412B57" w:rsidP="00412B57">
      <w:pPr>
        <w:spacing w:after="0" w:line="480" w:lineRule="auto"/>
        <w:jc w:val="both"/>
        <w:rPr>
          <w:rFonts w:ascii="Times New Roman" w:eastAsia="Times New Roman" w:hAnsi="Times New Roman" w:cs="Times New Roman"/>
        </w:rPr>
      </w:pPr>
      <w:r>
        <w:rPr>
          <w:rFonts w:ascii="Times New Roman" w:eastAsia="Times New Roman" w:hAnsi="Times New Roman" w:cs="Times New Roman"/>
        </w:rPr>
        <w:t xml:space="preserve">Nota. Tomado de la página web de Compass Group. </w:t>
      </w:r>
      <w:r w:rsidRPr="00FD023E">
        <w:rPr>
          <w:rFonts w:ascii="Times New Roman" w:eastAsia="Times New Roman" w:hAnsi="Times New Roman" w:cs="Times New Roman"/>
        </w:rPr>
        <w:t>https://www.compass-group.com.co/</w:t>
      </w:r>
    </w:p>
    <w:p w14:paraId="5D748142" w14:textId="77777777" w:rsidR="00412B57" w:rsidRDefault="00412B57" w:rsidP="00412B57">
      <w:pPr>
        <w:spacing w:after="0" w:line="480" w:lineRule="auto"/>
        <w:jc w:val="both"/>
        <w:rPr>
          <w:rFonts w:ascii="Times New Roman" w:eastAsia="Times New Roman" w:hAnsi="Times New Roman" w:cs="Times New Roman"/>
          <w:b/>
          <w:bCs/>
          <w:lang w:val="es-ES"/>
        </w:rPr>
      </w:pPr>
      <w:r>
        <w:rPr>
          <w:rFonts w:ascii="Times New Roman" w:eastAsia="Times New Roman" w:hAnsi="Times New Roman" w:cs="Times New Roman"/>
          <w:b/>
          <w:bCs/>
          <w:lang w:val="es-ES"/>
        </w:rPr>
        <w:t>Empresa Foodles</w:t>
      </w:r>
    </w:p>
    <w:p w14:paraId="598FAD9F" w14:textId="77777777" w:rsidR="00412B57" w:rsidRPr="00D52ADA" w:rsidRDefault="00412B57" w:rsidP="00412B57">
      <w:pPr>
        <w:spacing w:after="0" w:line="480" w:lineRule="auto"/>
        <w:ind w:firstLine="708"/>
        <w:jc w:val="both"/>
        <w:rPr>
          <w:rFonts w:ascii="Times New Roman" w:eastAsia="Times New Roman" w:hAnsi="Times New Roman" w:cs="Times New Roman"/>
          <w:lang w:val="es-ES"/>
        </w:rPr>
      </w:pPr>
      <w:r w:rsidRPr="00D52ADA">
        <w:rPr>
          <w:rFonts w:ascii="Times New Roman" w:eastAsia="Times New Roman" w:hAnsi="Times New Roman" w:cs="Times New Roman"/>
          <w:lang w:val="es-ES"/>
        </w:rPr>
        <w:t>Foodles es una empresa francesa que lleva operando desde el año 2014, se especializa en prestar servicios de cafetería y alimentación para corporaciones. Atiende alrededor de 450 clientes institucionales y destaca por mostrar un compromiso sostenible. La empresa está presente en varios países los cuales incluye Francia, Bélgica, Reino unido y Mónaco. Se espera que entre sus planes de expansión se consolide como un líder europeo en el sector de la restauración corporativa.</w:t>
      </w:r>
    </w:p>
    <w:p w14:paraId="78049522" w14:textId="77777777" w:rsidR="00412B57" w:rsidRPr="009E38D5" w:rsidRDefault="00412B57" w:rsidP="00412B57">
      <w:pPr>
        <w:spacing w:after="0" w:line="480" w:lineRule="auto"/>
        <w:jc w:val="both"/>
        <w:rPr>
          <w:rFonts w:ascii="Times New Roman" w:eastAsia="Times New Roman" w:hAnsi="Times New Roman" w:cs="Times New Roman"/>
          <w:lang w:val="es-ES"/>
        </w:rPr>
      </w:pPr>
      <w:r>
        <w:rPr>
          <w:rFonts w:ascii="Times New Roman" w:eastAsia="Times New Roman" w:hAnsi="Times New Roman" w:cs="Times New Roman"/>
          <w:lang w:val="es-ES"/>
        </w:rPr>
        <w:t>Tabla # Estrategia de la empresa Foodles</w:t>
      </w:r>
    </w:p>
    <w:tbl>
      <w:tblPr>
        <w:tblW w:w="0" w:type="auto"/>
        <w:tblCellMar>
          <w:left w:w="70" w:type="dxa"/>
          <w:right w:w="70" w:type="dxa"/>
        </w:tblCellMar>
        <w:tblLook w:val="04A0" w:firstRow="1" w:lastRow="0" w:firstColumn="1" w:lastColumn="0" w:noHBand="0" w:noVBand="1"/>
      </w:tblPr>
      <w:tblGrid>
        <w:gridCol w:w="1908"/>
        <w:gridCol w:w="7452"/>
      </w:tblGrid>
      <w:tr w:rsidR="00412B57" w:rsidRPr="000B2924" w14:paraId="602EF3F1" w14:textId="77777777" w:rsidTr="00DF30EF">
        <w:trPr>
          <w:trHeight w:val="324"/>
        </w:trPr>
        <w:tc>
          <w:tcPr>
            <w:tcW w:w="0" w:type="auto"/>
            <w:tcBorders>
              <w:top w:val="single" w:sz="8" w:space="0" w:color="auto"/>
              <w:left w:val="nil"/>
              <w:bottom w:val="single" w:sz="8" w:space="0" w:color="auto"/>
              <w:right w:val="nil"/>
            </w:tcBorders>
            <w:shd w:val="clear" w:color="000000" w:fill="F2F2F2"/>
            <w:noWrap/>
            <w:vAlign w:val="center"/>
            <w:hideMark/>
          </w:tcPr>
          <w:p w14:paraId="62DA3A87" w14:textId="77777777" w:rsidR="00412B57" w:rsidRPr="000B2924" w:rsidRDefault="00412B57" w:rsidP="00DF30EF">
            <w:pPr>
              <w:spacing w:after="0" w:line="360" w:lineRule="auto"/>
              <w:jc w:val="center"/>
              <w:rPr>
                <w:rFonts w:ascii="Times New Roman" w:eastAsia="Times New Roman" w:hAnsi="Times New Roman" w:cs="Times New Roman"/>
                <w:b/>
                <w:bCs/>
                <w:color w:val="000000"/>
                <w:kern w:val="0"/>
                <w:lang w:eastAsia="es-CO"/>
                <w14:ligatures w14:val="none"/>
              </w:rPr>
            </w:pPr>
            <w:r w:rsidRPr="000B2924">
              <w:rPr>
                <w:rFonts w:ascii="Times New Roman" w:eastAsia="Times New Roman" w:hAnsi="Times New Roman" w:cs="Times New Roman"/>
                <w:b/>
                <w:bCs/>
                <w:color w:val="000000"/>
                <w:kern w:val="0"/>
                <w:lang w:eastAsia="es-CO"/>
                <w14:ligatures w14:val="none"/>
              </w:rPr>
              <w:t>Dimensión</w:t>
            </w:r>
          </w:p>
        </w:tc>
        <w:tc>
          <w:tcPr>
            <w:tcW w:w="0" w:type="auto"/>
            <w:tcBorders>
              <w:top w:val="single" w:sz="8" w:space="0" w:color="auto"/>
              <w:left w:val="nil"/>
              <w:bottom w:val="single" w:sz="8" w:space="0" w:color="auto"/>
              <w:right w:val="nil"/>
            </w:tcBorders>
            <w:shd w:val="clear" w:color="000000" w:fill="F2F2F2"/>
            <w:noWrap/>
            <w:vAlign w:val="center"/>
            <w:hideMark/>
          </w:tcPr>
          <w:p w14:paraId="69042C93" w14:textId="77777777" w:rsidR="00412B57" w:rsidRPr="000B2924" w:rsidRDefault="00412B57" w:rsidP="00DF30EF">
            <w:pPr>
              <w:spacing w:after="0" w:line="360" w:lineRule="auto"/>
              <w:jc w:val="center"/>
              <w:rPr>
                <w:rFonts w:ascii="Times New Roman" w:eastAsia="Times New Roman" w:hAnsi="Times New Roman" w:cs="Times New Roman"/>
                <w:b/>
                <w:bCs/>
                <w:color w:val="000000"/>
                <w:kern w:val="0"/>
                <w:lang w:eastAsia="es-CO"/>
                <w14:ligatures w14:val="none"/>
              </w:rPr>
            </w:pPr>
            <w:r w:rsidRPr="000B2924">
              <w:rPr>
                <w:rFonts w:ascii="Times New Roman" w:eastAsia="Times New Roman" w:hAnsi="Times New Roman" w:cs="Times New Roman"/>
                <w:b/>
                <w:bCs/>
                <w:color w:val="000000"/>
                <w:kern w:val="0"/>
                <w:lang w:eastAsia="es-CO"/>
                <w14:ligatures w14:val="none"/>
              </w:rPr>
              <w:t>Descripción de las estrategias</w:t>
            </w:r>
          </w:p>
        </w:tc>
      </w:tr>
      <w:tr w:rsidR="00412B57" w:rsidRPr="000B2924" w14:paraId="7D5CEB3F" w14:textId="77777777" w:rsidTr="00DF30EF">
        <w:trPr>
          <w:trHeight w:val="948"/>
        </w:trPr>
        <w:tc>
          <w:tcPr>
            <w:tcW w:w="0" w:type="auto"/>
            <w:tcBorders>
              <w:top w:val="nil"/>
              <w:left w:val="nil"/>
              <w:bottom w:val="single" w:sz="8" w:space="0" w:color="auto"/>
              <w:right w:val="nil"/>
            </w:tcBorders>
            <w:shd w:val="clear" w:color="auto" w:fill="auto"/>
            <w:vAlign w:val="center"/>
            <w:hideMark/>
          </w:tcPr>
          <w:p w14:paraId="04515E03" w14:textId="77777777" w:rsidR="00412B57" w:rsidRPr="000B2924"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Modelo de negocio</w:t>
            </w:r>
          </w:p>
        </w:tc>
        <w:tc>
          <w:tcPr>
            <w:tcW w:w="0" w:type="auto"/>
            <w:tcBorders>
              <w:top w:val="nil"/>
              <w:left w:val="nil"/>
              <w:bottom w:val="single" w:sz="8" w:space="0" w:color="auto"/>
              <w:right w:val="nil"/>
            </w:tcBorders>
            <w:shd w:val="clear" w:color="auto" w:fill="auto"/>
            <w:vAlign w:val="bottom"/>
            <w:hideMark/>
          </w:tcPr>
          <w:p w14:paraId="40905D6D" w14:textId="77777777" w:rsidR="00412B57" w:rsidRPr="000B2924"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Ofrece una mezcla de servicios de catering tradicional y vending. Instalan refrigeradores con uso de un modelo de sistema de pago a través de una aplicación.</w:t>
            </w:r>
          </w:p>
        </w:tc>
      </w:tr>
      <w:tr w:rsidR="00412B57" w:rsidRPr="000B2924" w14:paraId="2AF431EB" w14:textId="77777777" w:rsidTr="00DF30EF">
        <w:trPr>
          <w:trHeight w:val="599"/>
        </w:trPr>
        <w:tc>
          <w:tcPr>
            <w:tcW w:w="0" w:type="auto"/>
            <w:tcBorders>
              <w:top w:val="nil"/>
              <w:left w:val="nil"/>
              <w:bottom w:val="single" w:sz="8" w:space="0" w:color="auto"/>
              <w:right w:val="nil"/>
            </w:tcBorders>
            <w:shd w:val="clear" w:color="000000" w:fill="F2F2F2"/>
            <w:vAlign w:val="center"/>
            <w:hideMark/>
          </w:tcPr>
          <w:p w14:paraId="70B9C91E" w14:textId="77777777" w:rsidR="00412B57" w:rsidRPr="000B2924"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Segmentación de mercado</w:t>
            </w:r>
          </w:p>
        </w:tc>
        <w:tc>
          <w:tcPr>
            <w:tcW w:w="0" w:type="auto"/>
            <w:tcBorders>
              <w:top w:val="nil"/>
              <w:left w:val="nil"/>
              <w:bottom w:val="single" w:sz="8" w:space="0" w:color="auto"/>
              <w:right w:val="nil"/>
            </w:tcBorders>
            <w:shd w:val="clear" w:color="000000" w:fill="F2F2F2"/>
            <w:vAlign w:val="bottom"/>
            <w:hideMark/>
          </w:tcPr>
          <w:p w14:paraId="22658035" w14:textId="77777777" w:rsidR="00412B57" w:rsidRPr="000B2924"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Se dirige a un público de oficinas y hoteles con más de 100 empleados, preferencia con un flujo promedio de 40 personas en las instalaciones.</w:t>
            </w:r>
          </w:p>
        </w:tc>
      </w:tr>
      <w:tr w:rsidR="00412B57" w:rsidRPr="000B2924" w14:paraId="383C2F04" w14:textId="77777777" w:rsidTr="00DF30EF">
        <w:trPr>
          <w:trHeight w:val="1686"/>
        </w:trPr>
        <w:tc>
          <w:tcPr>
            <w:tcW w:w="0" w:type="auto"/>
            <w:tcBorders>
              <w:top w:val="nil"/>
              <w:left w:val="nil"/>
              <w:bottom w:val="single" w:sz="8" w:space="0" w:color="auto"/>
              <w:right w:val="nil"/>
            </w:tcBorders>
            <w:shd w:val="clear" w:color="auto" w:fill="auto"/>
            <w:vAlign w:val="center"/>
            <w:hideMark/>
          </w:tcPr>
          <w:p w14:paraId="752BD4D7" w14:textId="77777777" w:rsidR="00412B57" w:rsidRPr="000B2924"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lastRenderedPageBreak/>
              <w:t>Producto o servicios</w:t>
            </w:r>
          </w:p>
        </w:tc>
        <w:tc>
          <w:tcPr>
            <w:tcW w:w="0" w:type="auto"/>
            <w:tcBorders>
              <w:top w:val="nil"/>
              <w:left w:val="nil"/>
              <w:bottom w:val="single" w:sz="8" w:space="0" w:color="auto"/>
              <w:right w:val="nil"/>
            </w:tcBorders>
            <w:shd w:val="clear" w:color="auto" w:fill="auto"/>
            <w:vAlign w:val="bottom"/>
            <w:hideMark/>
          </w:tcPr>
          <w:p w14:paraId="2D913F75" w14:textId="77777777" w:rsidR="00412B57" w:rsidRPr="000B2924"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 xml:space="preserve">El servicio se presta mediante un refrigerador inteligente, con comidas preparadas por chefs locales y adaptadas a diferentes dietas. Los refrigeradores son surtidos por empleados Foodles y dejados a disposición de los equipos de trabajo. Se utiliza un tipo de servicio basado en platos variados </w:t>
            </w:r>
            <w:r>
              <w:rPr>
                <w:rFonts w:ascii="Times New Roman" w:eastAsia="Times New Roman" w:hAnsi="Times New Roman" w:cs="Times New Roman"/>
                <w:color w:val="000000"/>
                <w:kern w:val="0"/>
                <w:lang w:eastAsia="es-CO"/>
                <w14:ligatures w14:val="none"/>
              </w:rPr>
              <w:t xml:space="preserve">que </w:t>
            </w:r>
            <w:r w:rsidRPr="000B2924">
              <w:rPr>
                <w:rFonts w:ascii="Times New Roman" w:eastAsia="Times New Roman" w:hAnsi="Times New Roman" w:cs="Times New Roman"/>
                <w:color w:val="000000"/>
                <w:kern w:val="0"/>
                <w:lang w:eastAsia="es-CO"/>
                <w14:ligatures w14:val="none"/>
              </w:rPr>
              <w:t xml:space="preserve">son dejados en las estanterías un máximo de tres días para ser adquiridos y consumidos. </w:t>
            </w:r>
          </w:p>
        </w:tc>
      </w:tr>
      <w:tr w:rsidR="00412B57" w:rsidRPr="000B2924" w14:paraId="7639F9F7" w14:textId="77777777" w:rsidTr="00DF30EF">
        <w:trPr>
          <w:trHeight w:val="1384"/>
        </w:trPr>
        <w:tc>
          <w:tcPr>
            <w:tcW w:w="0" w:type="auto"/>
            <w:tcBorders>
              <w:top w:val="nil"/>
              <w:left w:val="nil"/>
              <w:bottom w:val="single" w:sz="8" w:space="0" w:color="auto"/>
              <w:right w:val="nil"/>
            </w:tcBorders>
            <w:shd w:val="clear" w:color="000000" w:fill="F2F2F2"/>
            <w:vAlign w:val="center"/>
            <w:hideMark/>
          </w:tcPr>
          <w:p w14:paraId="77E4792D" w14:textId="77777777" w:rsidR="00412B57" w:rsidRPr="000B2924"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Tecnología</w:t>
            </w:r>
          </w:p>
        </w:tc>
        <w:tc>
          <w:tcPr>
            <w:tcW w:w="0" w:type="auto"/>
            <w:tcBorders>
              <w:top w:val="nil"/>
              <w:left w:val="nil"/>
              <w:bottom w:val="single" w:sz="8" w:space="0" w:color="auto"/>
              <w:right w:val="nil"/>
            </w:tcBorders>
            <w:shd w:val="clear" w:color="000000" w:fill="F2F2F2"/>
            <w:vAlign w:val="bottom"/>
            <w:hideMark/>
          </w:tcPr>
          <w:p w14:paraId="1309B38E" w14:textId="77777777" w:rsidR="00412B57" w:rsidRPr="000B2924"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Utiliza los datos y el análisis predictivo para la optimización del inventario y disminución del desperdicio. Una aplicación permite realizar las compras y poder acceder a el refrigerador con ayuda de una pantalla táctil. Los refrigeradores vienen incorporados con sensores y cámaras internas para le gestión de inventarios.</w:t>
            </w:r>
          </w:p>
        </w:tc>
      </w:tr>
      <w:tr w:rsidR="00412B57" w:rsidRPr="000B2924" w14:paraId="05EFAFC2" w14:textId="77777777" w:rsidTr="00DF30EF">
        <w:trPr>
          <w:trHeight w:val="824"/>
        </w:trPr>
        <w:tc>
          <w:tcPr>
            <w:tcW w:w="0" w:type="auto"/>
            <w:tcBorders>
              <w:top w:val="nil"/>
              <w:left w:val="nil"/>
              <w:bottom w:val="single" w:sz="8" w:space="0" w:color="auto"/>
              <w:right w:val="nil"/>
            </w:tcBorders>
            <w:shd w:val="clear" w:color="auto" w:fill="auto"/>
            <w:vAlign w:val="center"/>
            <w:hideMark/>
          </w:tcPr>
          <w:p w14:paraId="29377F74" w14:textId="77777777" w:rsidR="00412B57" w:rsidRPr="000B2924"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Sostenibilidad</w:t>
            </w:r>
          </w:p>
        </w:tc>
        <w:tc>
          <w:tcPr>
            <w:tcW w:w="0" w:type="auto"/>
            <w:tcBorders>
              <w:top w:val="nil"/>
              <w:left w:val="nil"/>
              <w:bottom w:val="single" w:sz="8" w:space="0" w:color="auto"/>
              <w:right w:val="nil"/>
            </w:tcBorders>
            <w:shd w:val="clear" w:color="auto" w:fill="auto"/>
            <w:vAlign w:val="bottom"/>
            <w:hideMark/>
          </w:tcPr>
          <w:p w14:paraId="51214F65" w14:textId="77777777" w:rsidR="00412B57" w:rsidRPr="000B2924"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Certificado B Corp., utiliza empaques ecológicos, minimización del desperdicio de alimentos, utiliza ingredientes locales y de temporada en sus preparaciones.</w:t>
            </w:r>
          </w:p>
        </w:tc>
      </w:tr>
      <w:tr w:rsidR="00412B57" w:rsidRPr="000B2924" w14:paraId="4BFAD9DD" w14:textId="77777777" w:rsidTr="00DF30EF">
        <w:trPr>
          <w:trHeight w:val="1119"/>
        </w:trPr>
        <w:tc>
          <w:tcPr>
            <w:tcW w:w="0" w:type="auto"/>
            <w:tcBorders>
              <w:top w:val="nil"/>
              <w:left w:val="nil"/>
              <w:bottom w:val="single" w:sz="8" w:space="0" w:color="auto"/>
              <w:right w:val="nil"/>
            </w:tcBorders>
            <w:shd w:val="clear" w:color="000000" w:fill="F2F2F2"/>
            <w:vAlign w:val="center"/>
            <w:hideMark/>
          </w:tcPr>
          <w:p w14:paraId="573665B0" w14:textId="77777777" w:rsidR="00412B57" w:rsidRPr="000B2924"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Diferenciación del producto o servicio</w:t>
            </w:r>
          </w:p>
        </w:tc>
        <w:tc>
          <w:tcPr>
            <w:tcW w:w="0" w:type="auto"/>
            <w:tcBorders>
              <w:top w:val="nil"/>
              <w:left w:val="nil"/>
              <w:bottom w:val="single" w:sz="8" w:space="0" w:color="auto"/>
              <w:right w:val="nil"/>
            </w:tcBorders>
            <w:shd w:val="clear" w:color="000000" w:fill="F2F2F2"/>
            <w:vAlign w:val="bottom"/>
            <w:hideMark/>
          </w:tcPr>
          <w:p w14:paraId="5CE80453" w14:textId="77777777" w:rsidR="00412B57" w:rsidRPr="000B2924"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Ofrecen menús de temporada de hasta 6 semanas, con 9 platos principales que cambian cada semana y con diferentes opciones dietéticas. Se en</w:t>
            </w:r>
            <w:r>
              <w:rPr>
                <w:rFonts w:ascii="Times New Roman" w:eastAsia="Times New Roman" w:hAnsi="Times New Roman" w:cs="Times New Roman"/>
                <w:color w:val="000000"/>
                <w:kern w:val="0"/>
                <w:lang w:eastAsia="es-CO"/>
                <w14:ligatures w14:val="none"/>
              </w:rPr>
              <w:t>f</w:t>
            </w:r>
            <w:r w:rsidRPr="000B2924">
              <w:rPr>
                <w:rFonts w:ascii="Times New Roman" w:eastAsia="Times New Roman" w:hAnsi="Times New Roman" w:cs="Times New Roman"/>
                <w:color w:val="000000"/>
                <w:kern w:val="0"/>
                <w:lang w:eastAsia="es-CO"/>
                <w14:ligatures w14:val="none"/>
              </w:rPr>
              <w:t>oc</w:t>
            </w:r>
            <w:r>
              <w:rPr>
                <w:rFonts w:ascii="Times New Roman" w:eastAsia="Times New Roman" w:hAnsi="Times New Roman" w:cs="Times New Roman"/>
                <w:color w:val="000000"/>
                <w:kern w:val="0"/>
                <w:lang w:eastAsia="es-CO"/>
                <w14:ligatures w14:val="none"/>
              </w:rPr>
              <w:t>a</w:t>
            </w:r>
            <w:r w:rsidRPr="000B2924">
              <w:rPr>
                <w:rFonts w:ascii="Times New Roman" w:eastAsia="Times New Roman" w:hAnsi="Times New Roman" w:cs="Times New Roman"/>
                <w:color w:val="000000"/>
                <w:kern w:val="0"/>
                <w:lang w:eastAsia="es-CO"/>
                <w14:ligatures w14:val="none"/>
              </w:rPr>
              <w:t>n en la experiencia del usuario. Flexibilidad en la jornada laboral.</w:t>
            </w:r>
          </w:p>
        </w:tc>
      </w:tr>
      <w:tr w:rsidR="00412B57" w:rsidRPr="000B2924" w14:paraId="01BFED12" w14:textId="77777777" w:rsidTr="00DF30EF">
        <w:trPr>
          <w:trHeight w:val="1687"/>
        </w:trPr>
        <w:tc>
          <w:tcPr>
            <w:tcW w:w="0" w:type="auto"/>
            <w:tcBorders>
              <w:top w:val="nil"/>
              <w:left w:val="nil"/>
              <w:bottom w:val="single" w:sz="8" w:space="0" w:color="auto"/>
              <w:right w:val="nil"/>
            </w:tcBorders>
            <w:shd w:val="clear" w:color="auto" w:fill="auto"/>
            <w:vAlign w:val="center"/>
            <w:hideMark/>
          </w:tcPr>
          <w:p w14:paraId="7184DAD5" w14:textId="77777777" w:rsidR="00412B57" w:rsidRPr="000B2924" w:rsidRDefault="00412B57" w:rsidP="00DF30EF">
            <w:pPr>
              <w:spacing w:after="0" w:line="360" w:lineRule="auto"/>
              <w:jc w:val="center"/>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Promoción</w:t>
            </w:r>
          </w:p>
        </w:tc>
        <w:tc>
          <w:tcPr>
            <w:tcW w:w="0" w:type="auto"/>
            <w:tcBorders>
              <w:top w:val="nil"/>
              <w:left w:val="nil"/>
              <w:bottom w:val="single" w:sz="8" w:space="0" w:color="auto"/>
              <w:right w:val="nil"/>
            </w:tcBorders>
            <w:shd w:val="clear" w:color="auto" w:fill="auto"/>
            <w:vAlign w:val="bottom"/>
            <w:hideMark/>
          </w:tcPr>
          <w:p w14:paraId="10CC1EA2" w14:textId="77777777" w:rsidR="00412B57" w:rsidRPr="000B2924" w:rsidRDefault="00412B57" w:rsidP="00DF30EF">
            <w:pPr>
              <w:spacing w:after="0" w:line="360" w:lineRule="auto"/>
              <w:jc w:val="both"/>
              <w:rPr>
                <w:rFonts w:ascii="Times New Roman" w:eastAsia="Times New Roman" w:hAnsi="Times New Roman" w:cs="Times New Roman"/>
                <w:color w:val="000000"/>
                <w:kern w:val="0"/>
                <w:lang w:eastAsia="es-CO"/>
                <w14:ligatures w14:val="none"/>
              </w:rPr>
            </w:pPr>
            <w:r w:rsidRPr="000B2924">
              <w:rPr>
                <w:rFonts w:ascii="Times New Roman" w:eastAsia="Times New Roman" w:hAnsi="Times New Roman" w:cs="Times New Roman"/>
                <w:color w:val="000000"/>
                <w:kern w:val="0"/>
                <w:lang w:eastAsia="es-CO"/>
                <w14:ligatures w14:val="none"/>
              </w:rPr>
              <w:t>Con su certificación B Corp., se posiciona como una solución responsable para atraer a las empresas que comparten mismos valores. En su plataforma web publica casos de éxito para dar credibilidad de su modelo de negocio. Fomenta el consumo mediante promociones de descuento para reducir el inventario con productos que están próximos a caducar. Degustaciones gratuitas.</w:t>
            </w:r>
          </w:p>
        </w:tc>
      </w:tr>
    </w:tbl>
    <w:p w14:paraId="3AF67234" w14:textId="77777777" w:rsidR="00412B57" w:rsidRPr="00513E3F" w:rsidRDefault="00412B57" w:rsidP="00412B57">
      <w:pPr>
        <w:spacing w:after="0" w:line="480" w:lineRule="auto"/>
        <w:jc w:val="both"/>
        <w:rPr>
          <w:rFonts w:ascii="Times New Roman" w:eastAsia="Times New Roman" w:hAnsi="Times New Roman" w:cs="Times New Roman"/>
          <w:lang w:val="es-ES"/>
        </w:rPr>
      </w:pPr>
      <w:r w:rsidRPr="00513E3F">
        <w:rPr>
          <w:rFonts w:ascii="Times New Roman" w:eastAsia="Times New Roman" w:hAnsi="Times New Roman" w:cs="Times New Roman"/>
          <w:lang w:val="es-ES"/>
        </w:rPr>
        <w:t>Nota. To</w:t>
      </w:r>
      <w:r>
        <w:rPr>
          <w:rFonts w:ascii="Times New Roman" w:eastAsia="Times New Roman" w:hAnsi="Times New Roman" w:cs="Times New Roman"/>
          <w:lang w:val="es-ES"/>
        </w:rPr>
        <w:t>mado de la página web de Foodles.</w:t>
      </w:r>
      <w:r w:rsidRPr="009454A5">
        <w:t xml:space="preserve"> </w:t>
      </w:r>
      <w:r w:rsidRPr="009454A5">
        <w:rPr>
          <w:rFonts w:ascii="Times New Roman" w:eastAsia="Times New Roman" w:hAnsi="Times New Roman" w:cs="Times New Roman"/>
          <w:lang w:val="es-ES"/>
        </w:rPr>
        <w:t>https://www.foodles.com/</w:t>
      </w:r>
    </w:p>
    <w:p w14:paraId="220BA51B" w14:textId="77777777" w:rsidR="00524799" w:rsidRPr="00412B57" w:rsidRDefault="00524799" w:rsidP="00412B57">
      <w:pPr>
        <w:spacing w:after="0" w:line="480" w:lineRule="auto"/>
        <w:rPr>
          <w:rFonts w:ascii="Times New Roman" w:hAnsi="Times New Roman" w:cs="Times New Roman"/>
          <w:lang w:val="es-ES"/>
        </w:rPr>
      </w:pPr>
    </w:p>
    <w:sectPr w:rsidR="00524799" w:rsidRPr="00412B57" w:rsidSect="00412B5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B57"/>
    <w:rsid w:val="00002991"/>
    <w:rsid w:val="00003470"/>
    <w:rsid w:val="00005097"/>
    <w:rsid w:val="00005F14"/>
    <w:rsid w:val="00011C3D"/>
    <w:rsid w:val="000268CF"/>
    <w:rsid w:val="00032AE3"/>
    <w:rsid w:val="00034BC3"/>
    <w:rsid w:val="00037F7A"/>
    <w:rsid w:val="00041ED9"/>
    <w:rsid w:val="00045C9C"/>
    <w:rsid w:val="000535AB"/>
    <w:rsid w:val="00060F81"/>
    <w:rsid w:val="00065111"/>
    <w:rsid w:val="000761CD"/>
    <w:rsid w:val="00086EC2"/>
    <w:rsid w:val="00090F17"/>
    <w:rsid w:val="00093123"/>
    <w:rsid w:val="00094BEA"/>
    <w:rsid w:val="000A06C3"/>
    <w:rsid w:val="000A12EC"/>
    <w:rsid w:val="000A49A2"/>
    <w:rsid w:val="000A79B6"/>
    <w:rsid w:val="000B563D"/>
    <w:rsid w:val="000B5D4F"/>
    <w:rsid w:val="000B6DDD"/>
    <w:rsid w:val="000C4274"/>
    <w:rsid w:val="000C52D8"/>
    <w:rsid w:val="000D0294"/>
    <w:rsid w:val="000D2D65"/>
    <w:rsid w:val="000D2D89"/>
    <w:rsid w:val="000D4070"/>
    <w:rsid w:val="000D6130"/>
    <w:rsid w:val="000D6CF1"/>
    <w:rsid w:val="000E1F89"/>
    <w:rsid w:val="000E4959"/>
    <w:rsid w:val="000E67E9"/>
    <w:rsid w:val="000E76DB"/>
    <w:rsid w:val="000F1018"/>
    <w:rsid w:val="000F4D63"/>
    <w:rsid w:val="000F6514"/>
    <w:rsid w:val="000F7EC6"/>
    <w:rsid w:val="00104A32"/>
    <w:rsid w:val="00107476"/>
    <w:rsid w:val="001266CD"/>
    <w:rsid w:val="00134FC7"/>
    <w:rsid w:val="00137673"/>
    <w:rsid w:val="00141FC1"/>
    <w:rsid w:val="0014220A"/>
    <w:rsid w:val="00142D3F"/>
    <w:rsid w:val="00150D75"/>
    <w:rsid w:val="0015244A"/>
    <w:rsid w:val="00153273"/>
    <w:rsid w:val="0016119F"/>
    <w:rsid w:val="00163480"/>
    <w:rsid w:val="00164230"/>
    <w:rsid w:val="00177C6E"/>
    <w:rsid w:val="00180B05"/>
    <w:rsid w:val="0018449C"/>
    <w:rsid w:val="00187876"/>
    <w:rsid w:val="001913A4"/>
    <w:rsid w:val="00195184"/>
    <w:rsid w:val="00195272"/>
    <w:rsid w:val="001A5CE6"/>
    <w:rsid w:val="001B06CD"/>
    <w:rsid w:val="001C131C"/>
    <w:rsid w:val="001C488B"/>
    <w:rsid w:val="001C5367"/>
    <w:rsid w:val="001E66D0"/>
    <w:rsid w:val="001F39F0"/>
    <w:rsid w:val="0021699A"/>
    <w:rsid w:val="00217935"/>
    <w:rsid w:val="002219BD"/>
    <w:rsid w:val="002237CC"/>
    <w:rsid w:val="002273D6"/>
    <w:rsid w:val="0023580E"/>
    <w:rsid w:val="00236176"/>
    <w:rsid w:val="00237F86"/>
    <w:rsid w:val="00254AA0"/>
    <w:rsid w:val="00260AD2"/>
    <w:rsid w:val="00261EE2"/>
    <w:rsid w:val="00263328"/>
    <w:rsid w:val="00263384"/>
    <w:rsid w:val="002710C7"/>
    <w:rsid w:val="002753A3"/>
    <w:rsid w:val="00284C25"/>
    <w:rsid w:val="00285EEA"/>
    <w:rsid w:val="002A43D1"/>
    <w:rsid w:val="002A6290"/>
    <w:rsid w:val="002C002F"/>
    <w:rsid w:val="002D31B1"/>
    <w:rsid w:val="002E09E5"/>
    <w:rsid w:val="002E1B28"/>
    <w:rsid w:val="002E5302"/>
    <w:rsid w:val="002E5430"/>
    <w:rsid w:val="002E57FE"/>
    <w:rsid w:val="002F0CD7"/>
    <w:rsid w:val="002F3A61"/>
    <w:rsid w:val="002F4099"/>
    <w:rsid w:val="0030122D"/>
    <w:rsid w:val="0030330E"/>
    <w:rsid w:val="0031214C"/>
    <w:rsid w:val="00320889"/>
    <w:rsid w:val="00325E47"/>
    <w:rsid w:val="003279C2"/>
    <w:rsid w:val="00330184"/>
    <w:rsid w:val="00333994"/>
    <w:rsid w:val="00333FD1"/>
    <w:rsid w:val="00343C69"/>
    <w:rsid w:val="00345829"/>
    <w:rsid w:val="00345E2E"/>
    <w:rsid w:val="0035333B"/>
    <w:rsid w:val="00353A88"/>
    <w:rsid w:val="00356F98"/>
    <w:rsid w:val="00357B79"/>
    <w:rsid w:val="00362E3A"/>
    <w:rsid w:val="003637BD"/>
    <w:rsid w:val="003700CF"/>
    <w:rsid w:val="003744EE"/>
    <w:rsid w:val="00375196"/>
    <w:rsid w:val="00376DC7"/>
    <w:rsid w:val="00382DBB"/>
    <w:rsid w:val="00385773"/>
    <w:rsid w:val="003879AF"/>
    <w:rsid w:val="00394961"/>
    <w:rsid w:val="003A0258"/>
    <w:rsid w:val="003A1AE6"/>
    <w:rsid w:val="003A6327"/>
    <w:rsid w:val="003A7D78"/>
    <w:rsid w:val="003B3B19"/>
    <w:rsid w:val="003C6413"/>
    <w:rsid w:val="003E1F40"/>
    <w:rsid w:val="003E6021"/>
    <w:rsid w:val="003F3797"/>
    <w:rsid w:val="003F5B81"/>
    <w:rsid w:val="0040294B"/>
    <w:rsid w:val="00406642"/>
    <w:rsid w:val="00406CAD"/>
    <w:rsid w:val="00406D11"/>
    <w:rsid w:val="00412B57"/>
    <w:rsid w:val="004200B7"/>
    <w:rsid w:val="00421F4D"/>
    <w:rsid w:val="00430FE7"/>
    <w:rsid w:val="00450821"/>
    <w:rsid w:val="00457464"/>
    <w:rsid w:val="00464907"/>
    <w:rsid w:val="0047472B"/>
    <w:rsid w:val="00474915"/>
    <w:rsid w:val="00477397"/>
    <w:rsid w:val="00477CC2"/>
    <w:rsid w:val="00477ED1"/>
    <w:rsid w:val="0048039B"/>
    <w:rsid w:val="0049033C"/>
    <w:rsid w:val="00491044"/>
    <w:rsid w:val="00492CF5"/>
    <w:rsid w:val="004A489A"/>
    <w:rsid w:val="004B030F"/>
    <w:rsid w:val="004B1BB1"/>
    <w:rsid w:val="004B72E8"/>
    <w:rsid w:val="004C02A1"/>
    <w:rsid w:val="004C1040"/>
    <w:rsid w:val="004C1286"/>
    <w:rsid w:val="004D2CAF"/>
    <w:rsid w:val="004E5BBF"/>
    <w:rsid w:val="004F4E81"/>
    <w:rsid w:val="0050151D"/>
    <w:rsid w:val="00504010"/>
    <w:rsid w:val="00505023"/>
    <w:rsid w:val="0050627B"/>
    <w:rsid w:val="00514AFA"/>
    <w:rsid w:val="005211A3"/>
    <w:rsid w:val="00524799"/>
    <w:rsid w:val="00531F6E"/>
    <w:rsid w:val="0053213B"/>
    <w:rsid w:val="005365E2"/>
    <w:rsid w:val="00540BBF"/>
    <w:rsid w:val="005432A5"/>
    <w:rsid w:val="005471A9"/>
    <w:rsid w:val="00562BC0"/>
    <w:rsid w:val="005705E8"/>
    <w:rsid w:val="00571363"/>
    <w:rsid w:val="00572DE4"/>
    <w:rsid w:val="005775B7"/>
    <w:rsid w:val="005777AE"/>
    <w:rsid w:val="00585798"/>
    <w:rsid w:val="00586DC8"/>
    <w:rsid w:val="0059009F"/>
    <w:rsid w:val="00590C0C"/>
    <w:rsid w:val="005910BC"/>
    <w:rsid w:val="005A288E"/>
    <w:rsid w:val="005A2D17"/>
    <w:rsid w:val="005A5347"/>
    <w:rsid w:val="005B251A"/>
    <w:rsid w:val="005B33BD"/>
    <w:rsid w:val="005B5AF0"/>
    <w:rsid w:val="005C5B0A"/>
    <w:rsid w:val="005D13E9"/>
    <w:rsid w:val="005D339A"/>
    <w:rsid w:val="005D6861"/>
    <w:rsid w:val="005E0B8E"/>
    <w:rsid w:val="005E1040"/>
    <w:rsid w:val="005E5B02"/>
    <w:rsid w:val="006043DC"/>
    <w:rsid w:val="0060682E"/>
    <w:rsid w:val="00615F19"/>
    <w:rsid w:val="0062451B"/>
    <w:rsid w:val="006416A4"/>
    <w:rsid w:val="00651DFC"/>
    <w:rsid w:val="00653E38"/>
    <w:rsid w:val="00665AF1"/>
    <w:rsid w:val="00665EB1"/>
    <w:rsid w:val="00682619"/>
    <w:rsid w:val="00684E5A"/>
    <w:rsid w:val="00687A64"/>
    <w:rsid w:val="006921FF"/>
    <w:rsid w:val="006B5214"/>
    <w:rsid w:val="006B68AE"/>
    <w:rsid w:val="006C06D3"/>
    <w:rsid w:val="006C2532"/>
    <w:rsid w:val="006C7834"/>
    <w:rsid w:val="006D3712"/>
    <w:rsid w:val="006D3A33"/>
    <w:rsid w:val="006E2DC8"/>
    <w:rsid w:val="006E5F03"/>
    <w:rsid w:val="006E7F11"/>
    <w:rsid w:val="006F0B26"/>
    <w:rsid w:val="006F203D"/>
    <w:rsid w:val="0070258B"/>
    <w:rsid w:val="007064E7"/>
    <w:rsid w:val="007078B0"/>
    <w:rsid w:val="007174F6"/>
    <w:rsid w:val="0072146D"/>
    <w:rsid w:val="00722C2F"/>
    <w:rsid w:val="00730C48"/>
    <w:rsid w:val="00734D72"/>
    <w:rsid w:val="0074410E"/>
    <w:rsid w:val="007519AB"/>
    <w:rsid w:val="007578A3"/>
    <w:rsid w:val="00760136"/>
    <w:rsid w:val="00765344"/>
    <w:rsid w:val="0077020F"/>
    <w:rsid w:val="00770DDF"/>
    <w:rsid w:val="00776082"/>
    <w:rsid w:val="00777A63"/>
    <w:rsid w:val="00782604"/>
    <w:rsid w:val="00784730"/>
    <w:rsid w:val="007876BF"/>
    <w:rsid w:val="00790BC4"/>
    <w:rsid w:val="007A1A42"/>
    <w:rsid w:val="007B2C18"/>
    <w:rsid w:val="007B2E6E"/>
    <w:rsid w:val="007B514C"/>
    <w:rsid w:val="007B6977"/>
    <w:rsid w:val="007C5F65"/>
    <w:rsid w:val="007C6F3C"/>
    <w:rsid w:val="007D59D1"/>
    <w:rsid w:val="007D73A8"/>
    <w:rsid w:val="007E4636"/>
    <w:rsid w:val="007E5203"/>
    <w:rsid w:val="00805C52"/>
    <w:rsid w:val="008122E2"/>
    <w:rsid w:val="00817388"/>
    <w:rsid w:val="00823913"/>
    <w:rsid w:val="00826802"/>
    <w:rsid w:val="00826FEF"/>
    <w:rsid w:val="0084325B"/>
    <w:rsid w:val="008533F4"/>
    <w:rsid w:val="008547F9"/>
    <w:rsid w:val="00860E79"/>
    <w:rsid w:val="00867189"/>
    <w:rsid w:val="00867EC2"/>
    <w:rsid w:val="008768B6"/>
    <w:rsid w:val="00883936"/>
    <w:rsid w:val="00887631"/>
    <w:rsid w:val="00896A54"/>
    <w:rsid w:val="008B20BC"/>
    <w:rsid w:val="008C1521"/>
    <w:rsid w:val="008C20F3"/>
    <w:rsid w:val="008C26E6"/>
    <w:rsid w:val="008C422A"/>
    <w:rsid w:val="008D2A75"/>
    <w:rsid w:val="008D4EB1"/>
    <w:rsid w:val="008D657C"/>
    <w:rsid w:val="008D66CF"/>
    <w:rsid w:val="008E1213"/>
    <w:rsid w:val="008F6CD7"/>
    <w:rsid w:val="00902745"/>
    <w:rsid w:val="009047E8"/>
    <w:rsid w:val="0091087E"/>
    <w:rsid w:val="00930FB6"/>
    <w:rsid w:val="00931C8A"/>
    <w:rsid w:val="00941461"/>
    <w:rsid w:val="00942623"/>
    <w:rsid w:val="00952D93"/>
    <w:rsid w:val="00953BC7"/>
    <w:rsid w:val="00960313"/>
    <w:rsid w:val="0096118D"/>
    <w:rsid w:val="00961985"/>
    <w:rsid w:val="00962560"/>
    <w:rsid w:val="00962644"/>
    <w:rsid w:val="00970DF2"/>
    <w:rsid w:val="00975970"/>
    <w:rsid w:val="009862EA"/>
    <w:rsid w:val="00986C80"/>
    <w:rsid w:val="009A7BBD"/>
    <w:rsid w:val="009B4E52"/>
    <w:rsid w:val="009C7546"/>
    <w:rsid w:val="009D2F95"/>
    <w:rsid w:val="009F3E6E"/>
    <w:rsid w:val="00A00187"/>
    <w:rsid w:val="00A12DCF"/>
    <w:rsid w:val="00A14929"/>
    <w:rsid w:val="00A16BB0"/>
    <w:rsid w:val="00A2215A"/>
    <w:rsid w:val="00A40BCE"/>
    <w:rsid w:val="00A44CE4"/>
    <w:rsid w:val="00A46D23"/>
    <w:rsid w:val="00A516A4"/>
    <w:rsid w:val="00A56D92"/>
    <w:rsid w:val="00A629B9"/>
    <w:rsid w:val="00A75879"/>
    <w:rsid w:val="00A80BDE"/>
    <w:rsid w:val="00A8619F"/>
    <w:rsid w:val="00A87BCD"/>
    <w:rsid w:val="00A91C7D"/>
    <w:rsid w:val="00AA5989"/>
    <w:rsid w:val="00AA5EB2"/>
    <w:rsid w:val="00AC4369"/>
    <w:rsid w:val="00AD3102"/>
    <w:rsid w:val="00AE24D5"/>
    <w:rsid w:val="00AE263E"/>
    <w:rsid w:val="00AE41FA"/>
    <w:rsid w:val="00AF4C73"/>
    <w:rsid w:val="00B00FFA"/>
    <w:rsid w:val="00B125B2"/>
    <w:rsid w:val="00B15FC1"/>
    <w:rsid w:val="00B20F25"/>
    <w:rsid w:val="00B217F9"/>
    <w:rsid w:val="00B230AB"/>
    <w:rsid w:val="00B347C5"/>
    <w:rsid w:val="00B37208"/>
    <w:rsid w:val="00B40D58"/>
    <w:rsid w:val="00B56D23"/>
    <w:rsid w:val="00B73FAF"/>
    <w:rsid w:val="00B74CFF"/>
    <w:rsid w:val="00B76B27"/>
    <w:rsid w:val="00B96775"/>
    <w:rsid w:val="00B97E25"/>
    <w:rsid w:val="00BA473F"/>
    <w:rsid w:val="00BA53D5"/>
    <w:rsid w:val="00BA73DF"/>
    <w:rsid w:val="00BB4524"/>
    <w:rsid w:val="00BD072C"/>
    <w:rsid w:val="00BD0921"/>
    <w:rsid w:val="00BD578D"/>
    <w:rsid w:val="00BD6A4A"/>
    <w:rsid w:val="00BE3EDA"/>
    <w:rsid w:val="00BE5C55"/>
    <w:rsid w:val="00BE71AB"/>
    <w:rsid w:val="00BF4788"/>
    <w:rsid w:val="00BF707E"/>
    <w:rsid w:val="00C00D5E"/>
    <w:rsid w:val="00C064C0"/>
    <w:rsid w:val="00C07C9C"/>
    <w:rsid w:val="00C30E1D"/>
    <w:rsid w:val="00C35F2B"/>
    <w:rsid w:val="00C436E8"/>
    <w:rsid w:val="00C54B3C"/>
    <w:rsid w:val="00C61E27"/>
    <w:rsid w:val="00C64CB8"/>
    <w:rsid w:val="00C702CD"/>
    <w:rsid w:val="00C71B4B"/>
    <w:rsid w:val="00C72BBA"/>
    <w:rsid w:val="00C75CC3"/>
    <w:rsid w:val="00C77EFE"/>
    <w:rsid w:val="00C815E6"/>
    <w:rsid w:val="00C87F7A"/>
    <w:rsid w:val="00C93BE5"/>
    <w:rsid w:val="00C96685"/>
    <w:rsid w:val="00CB1862"/>
    <w:rsid w:val="00CB2D76"/>
    <w:rsid w:val="00CB31C1"/>
    <w:rsid w:val="00CC04C3"/>
    <w:rsid w:val="00CC17B4"/>
    <w:rsid w:val="00CC45B7"/>
    <w:rsid w:val="00CC4EEA"/>
    <w:rsid w:val="00CC7D89"/>
    <w:rsid w:val="00CD0796"/>
    <w:rsid w:val="00CE3BC6"/>
    <w:rsid w:val="00CF4037"/>
    <w:rsid w:val="00D0418B"/>
    <w:rsid w:val="00D114DC"/>
    <w:rsid w:val="00D125A6"/>
    <w:rsid w:val="00D13810"/>
    <w:rsid w:val="00D13884"/>
    <w:rsid w:val="00D17934"/>
    <w:rsid w:val="00D22728"/>
    <w:rsid w:val="00D22C8C"/>
    <w:rsid w:val="00D23C44"/>
    <w:rsid w:val="00D2453D"/>
    <w:rsid w:val="00D25C9A"/>
    <w:rsid w:val="00D264AF"/>
    <w:rsid w:val="00D30E87"/>
    <w:rsid w:val="00D313AF"/>
    <w:rsid w:val="00D314FA"/>
    <w:rsid w:val="00D32BDC"/>
    <w:rsid w:val="00D35200"/>
    <w:rsid w:val="00D436AA"/>
    <w:rsid w:val="00D52B16"/>
    <w:rsid w:val="00D5450D"/>
    <w:rsid w:val="00D62071"/>
    <w:rsid w:val="00D639CC"/>
    <w:rsid w:val="00D64F04"/>
    <w:rsid w:val="00D65AC9"/>
    <w:rsid w:val="00D67A1F"/>
    <w:rsid w:val="00D70263"/>
    <w:rsid w:val="00D71FAC"/>
    <w:rsid w:val="00D77140"/>
    <w:rsid w:val="00D779AE"/>
    <w:rsid w:val="00D86C40"/>
    <w:rsid w:val="00D9011A"/>
    <w:rsid w:val="00D91291"/>
    <w:rsid w:val="00D92693"/>
    <w:rsid w:val="00DA5DA8"/>
    <w:rsid w:val="00DB0D52"/>
    <w:rsid w:val="00DB1F28"/>
    <w:rsid w:val="00DB25C8"/>
    <w:rsid w:val="00DB48C2"/>
    <w:rsid w:val="00DB7FC4"/>
    <w:rsid w:val="00DC0DF5"/>
    <w:rsid w:val="00DC1E6D"/>
    <w:rsid w:val="00DC5179"/>
    <w:rsid w:val="00DD7020"/>
    <w:rsid w:val="00DE0D9A"/>
    <w:rsid w:val="00DE207B"/>
    <w:rsid w:val="00DE7BF8"/>
    <w:rsid w:val="00DF2377"/>
    <w:rsid w:val="00DF5AF8"/>
    <w:rsid w:val="00DF7002"/>
    <w:rsid w:val="00DF72E0"/>
    <w:rsid w:val="00E0042B"/>
    <w:rsid w:val="00E03674"/>
    <w:rsid w:val="00E0491C"/>
    <w:rsid w:val="00E05050"/>
    <w:rsid w:val="00E07916"/>
    <w:rsid w:val="00E11CA6"/>
    <w:rsid w:val="00E24067"/>
    <w:rsid w:val="00E27FB4"/>
    <w:rsid w:val="00E30FDC"/>
    <w:rsid w:val="00E31930"/>
    <w:rsid w:val="00E3266A"/>
    <w:rsid w:val="00E32C7E"/>
    <w:rsid w:val="00E3630F"/>
    <w:rsid w:val="00E366C8"/>
    <w:rsid w:val="00E3791D"/>
    <w:rsid w:val="00E46362"/>
    <w:rsid w:val="00E56B74"/>
    <w:rsid w:val="00E57149"/>
    <w:rsid w:val="00E63F7A"/>
    <w:rsid w:val="00E64911"/>
    <w:rsid w:val="00E66818"/>
    <w:rsid w:val="00E815B0"/>
    <w:rsid w:val="00E90D1B"/>
    <w:rsid w:val="00E91BED"/>
    <w:rsid w:val="00EA18BE"/>
    <w:rsid w:val="00EA2C00"/>
    <w:rsid w:val="00EA4460"/>
    <w:rsid w:val="00EE29B9"/>
    <w:rsid w:val="00EE353E"/>
    <w:rsid w:val="00EE7B3C"/>
    <w:rsid w:val="00EF1319"/>
    <w:rsid w:val="00EF6C3B"/>
    <w:rsid w:val="00EF72B3"/>
    <w:rsid w:val="00F02461"/>
    <w:rsid w:val="00F0432C"/>
    <w:rsid w:val="00F10057"/>
    <w:rsid w:val="00F1252A"/>
    <w:rsid w:val="00F132FD"/>
    <w:rsid w:val="00F15862"/>
    <w:rsid w:val="00F17BA7"/>
    <w:rsid w:val="00F334B8"/>
    <w:rsid w:val="00F36AC2"/>
    <w:rsid w:val="00F42581"/>
    <w:rsid w:val="00F44A06"/>
    <w:rsid w:val="00F44B90"/>
    <w:rsid w:val="00F46685"/>
    <w:rsid w:val="00F46BCC"/>
    <w:rsid w:val="00F46C2E"/>
    <w:rsid w:val="00F50E40"/>
    <w:rsid w:val="00F53F7C"/>
    <w:rsid w:val="00F5541A"/>
    <w:rsid w:val="00F64DED"/>
    <w:rsid w:val="00F81E18"/>
    <w:rsid w:val="00F824FB"/>
    <w:rsid w:val="00F82EE9"/>
    <w:rsid w:val="00F85588"/>
    <w:rsid w:val="00F936D8"/>
    <w:rsid w:val="00F95A26"/>
    <w:rsid w:val="00FA062A"/>
    <w:rsid w:val="00FA2477"/>
    <w:rsid w:val="00FA351F"/>
    <w:rsid w:val="00FA35EE"/>
    <w:rsid w:val="00FA761A"/>
    <w:rsid w:val="00FB3FFC"/>
    <w:rsid w:val="00FC5109"/>
    <w:rsid w:val="00FE0743"/>
    <w:rsid w:val="00FE0E7B"/>
    <w:rsid w:val="00FE1964"/>
    <w:rsid w:val="00FE1F3F"/>
    <w:rsid w:val="00FE3912"/>
    <w:rsid w:val="00FE45C8"/>
    <w:rsid w:val="00FF2D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CBC6B"/>
  <w15:chartTrackingRefBased/>
  <w15:docId w15:val="{EC21084A-2B4E-42C4-9006-F39BA44A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57"/>
  </w:style>
  <w:style w:type="paragraph" w:styleId="Ttulo1">
    <w:name w:val="heading 1"/>
    <w:basedOn w:val="Normal"/>
    <w:next w:val="Normal"/>
    <w:link w:val="Ttulo1Car"/>
    <w:uiPriority w:val="9"/>
    <w:qFormat/>
    <w:rsid w:val="00412B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12B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12B5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12B5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12B5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12B5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12B5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12B5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12B5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APA7">
    <w:name w:val="APA 7"/>
    <w:basedOn w:val="Tablanormal"/>
    <w:uiPriority w:val="99"/>
    <w:rsid w:val="00065111"/>
    <w:pPr>
      <w:spacing w:after="0" w:line="240" w:lineRule="auto"/>
      <w:jc w:val="center"/>
    </w:pPr>
    <w:rPr>
      <w:rFonts w:ascii="Times New Roman" w:hAnsi="Times New Roman"/>
    </w:rPr>
    <w:tblPr>
      <w:tblBorders>
        <w:bottom w:val="single" w:sz="4" w:space="0" w:color="auto"/>
      </w:tblBorders>
    </w:tblPr>
    <w:tcPr>
      <w:vAlign w:val="center"/>
    </w:tcPr>
    <w:tblStylePr w:type="firstRow">
      <w:rPr>
        <w:rFonts w:ascii="Times New Roman" w:hAnsi="Times New Roman"/>
        <w:b/>
        <w:sz w:val="24"/>
      </w:rPr>
      <w:tblPr/>
      <w:tcPr>
        <w:tcBorders>
          <w:top w:val="single" w:sz="8" w:space="0" w:color="auto"/>
          <w:left w:val="nil"/>
          <w:bottom w:val="single" w:sz="8" w:space="0" w:color="auto"/>
          <w:right w:val="nil"/>
          <w:insideH w:val="nil"/>
          <w:insideV w:val="nil"/>
        </w:tcBorders>
      </w:tcPr>
    </w:tblStylePr>
    <w:tblStylePr w:type="lastRow">
      <w:rPr>
        <w:b/>
      </w:rPr>
    </w:tblStylePr>
    <w:tblStylePr w:type="firstCol">
      <w:pPr>
        <w:jc w:val="left"/>
      </w:pPr>
    </w:tblStylePr>
  </w:style>
  <w:style w:type="table" w:customStyle="1" w:styleId="APAS7">
    <w:name w:val="APAS 7"/>
    <w:basedOn w:val="Tablanormal"/>
    <w:uiPriority w:val="99"/>
    <w:rsid w:val="00065111"/>
    <w:pPr>
      <w:spacing w:after="0" w:line="240" w:lineRule="auto"/>
      <w:jc w:val="center"/>
    </w:pPr>
    <w:rPr>
      <w:rFonts w:ascii="Times New Roman" w:hAnsi="Times New Roman"/>
    </w:rPr>
    <w:tblPr>
      <w:tblBorders>
        <w:bottom w:val="single" w:sz="4" w:space="0" w:color="000000" w:themeColor="text1"/>
      </w:tblBorders>
    </w:tblPr>
    <w:tcPr>
      <w:vAlign w:val="center"/>
    </w:tcPr>
    <w:tblStylePr w:type="firstRow">
      <w:rPr>
        <w:rFonts w:ascii="Times New Roman" w:hAnsi="Times New Roman"/>
        <w:b/>
        <w:sz w:val="24"/>
      </w:rPr>
      <w:tblPr/>
      <w:tcPr>
        <w:tcBorders>
          <w:top w:val="single" w:sz="4" w:space="0" w:color="000000" w:themeColor="text1"/>
          <w:bottom w:val="single" w:sz="4" w:space="0" w:color="000000" w:themeColor="text1"/>
        </w:tcBorders>
      </w:tcPr>
    </w:tblStylePr>
  </w:style>
  <w:style w:type="character" w:customStyle="1" w:styleId="Ttulo1Car">
    <w:name w:val="Título 1 Car"/>
    <w:basedOn w:val="Fuentedeprrafopredeter"/>
    <w:link w:val="Ttulo1"/>
    <w:uiPriority w:val="9"/>
    <w:rsid w:val="00412B5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12B5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12B5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12B5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12B5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12B5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12B5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12B5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12B57"/>
    <w:rPr>
      <w:rFonts w:eastAsiaTheme="majorEastAsia" w:cstheme="majorBidi"/>
      <w:color w:val="272727" w:themeColor="text1" w:themeTint="D8"/>
    </w:rPr>
  </w:style>
  <w:style w:type="paragraph" w:styleId="Ttulo">
    <w:name w:val="Title"/>
    <w:basedOn w:val="Normal"/>
    <w:next w:val="Normal"/>
    <w:link w:val="TtuloCar"/>
    <w:uiPriority w:val="10"/>
    <w:qFormat/>
    <w:rsid w:val="00412B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12B5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12B5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12B5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12B57"/>
    <w:pPr>
      <w:spacing w:before="160"/>
      <w:jc w:val="center"/>
    </w:pPr>
    <w:rPr>
      <w:i/>
      <w:iCs/>
      <w:color w:val="404040" w:themeColor="text1" w:themeTint="BF"/>
    </w:rPr>
  </w:style>
  <w:style w:type="character" w:customStyle="1" w:styleId="CitaCar">
    <w:name w:val="Cita Car"/>
    <w:basedOn w:val="Fuentedeprrafopredeter"/>
    <w:link w:val="Cita"/>
    <w:uiPriority w:val="29"/>
    <w:rsid w:val="00412B57"/>
    <w:rPr>
      <w:i/>
      <w:iCs/>
      <w:color w:val="404040" w:themeColor="text1" w:themeTint="BF"/>
    </w:rPr>
  </w:style>
  <w:style w:type="paragraph" w:styleId="Prrafodelista">
    <w:name w:val="List Paragraph"/>
    <w:basedOn w:val="Normal"/>
    <w:uiPriority w:val="34"/>
    <w:qFormat/>
    <w:rsid w:val="00412B57"/>
    <w:pPr>
      <w:ind w:left="720"/>
      <w:contextualSpacing/>
    </w:pPr>
  </w:style>
  <w:style w:type="character" w:styleId="nfasisintenso">
    <w:name w:val="Intense Emphasis"/>
    <w:basedOn w:val="Fuentedeprrafopredeter"/>
    <w:uiPriority w:val="21"/>
    <w:qFormat/>
    <w:rsid w:val="00412B57"/>
    <w:rPr>
      <w:i/>
      <w:iCs/>
      <w:color w:val="2F5496" w:themeColor="accent1" w:themeShade="BF"/>
    </w:rPr>
  </w:style>
  <w:style w:type="paragraph" w:styleId="Citadestacada">
    <w:name w:val="Intense Quote"/>
    <w:basedOn w:val="Normal"/>
    <w:next w:val="Normal"/>
    <w:link w:val="CitadestacadaCar"/>
    <w:uiPriority w:val="30"/>
    <w:qFormat/>
    <w:rsid w:val="00412B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12B57"/>
    <w:rPr>
      <w:i/>
      <w:iCs/>
      <w:color w:val="2F5496" w:themeColor="accent1" w:themeShade="BF"/>
    </w:rPr>
  </w:style>
  <w:style w:type="character" w:styleId="Referenciaintensa">
    <w:name w:val="Intense Reference"/>
    <w:basedOn w:val="Fuentedeprrafopredeter"/>
    <w:uiPriority w:val="32"/>
    <w:qFormat/>
    <w:rsid w:val="00412B5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804</Words>
  <Characters>4425</Characters>
  <Application>Microsoft Office Word</Application>
  <DocSecurity>0</DocSecurity>
  <Lines>36</Lines>
  <Paragraphs>10</Paragraphs>
  <ScaleCrop>false</ScaleCrop>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LOPEZ</dc:creator>
  <cp:keywords/>
  <dc:description/>
  <cp:lastModifiedBy>JUAN LOPEZ</cp:lastModifiedBy>
  <cp:revision>1</cp:revision>
  <dcterms:created xsi:type="dcterms:W3CDTF">2025-03-04T15:22:00Z</dcterms:created>
  <dcterms:modified xsi:type="dcterms:W3CDTF">2025-03-04T15:24:00Z</dcterms:modified>
</cp:coreProperties>
</file>